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65F4" w:rsidRDefault="002765F4">
      <w:pPr>
        <w:pStyle w:val="normal0"/>
        <w:spacing w:line="305" w:lineRule="auto"/>
        <w:ind w:left="720" w:hanging="359"/>
        <w:jc w:val="both"/>
        <w:rPr>
          <w:b/>
          <w:sz w:val="20"/>
        </w:rPr>
      </w:pPr>
      <w:r>
        <w:rPr>
          <w:b/>
          <w:sz w:val="20"/>
        </w:rPr>
        <w:t>Consultation Projet de programme EMC cycles 2, 3 et 4</w:t>
      </w:r>
    </w:p>
    <w:p w:rsidR="002765F4" w:rsidRDefault="002765F4">
      <w:pPr>
        <w:pStyle w:val="normal0"/>
        <w:spacing w:line="305" w:lineRule="auto"/>
        <w:ind w:left="720" w:hanging="359"/>
        <w:jc w:val="both"/>
      </w:pPr>
      <w:r>
        <w:rPr>
          <w:b/>
          <w:sz w:val="20"/>
        </w:rPr>
        <w:t xml:space="preserve">Commentaires du </w:t>
      </w:r>
      <w:smartTag w:uri="urn:schemas-microsoft-com:office:smarttags" w:element="PersonName">
        <w:smartTagPr>
          <w:attr w:name="ProductID" w:val="secteur éducation"/>
        </w:smartTagPr>
        <w:r>
          <w:rPr>
            <w:b/>
            <w:sz w:val="20"/>
          </w:rPr>
          <w:t>secteur éducation</w:t>
        </w:r>
      </w:smartTag>
      <w:r>
        <w:rPr>
          <w:b/>
          <w:sz w:val="20"/>
        </w:rPr>
        <w:t xml:space="preserve"> SE-Unsa</w:t>
      </w:r>
    </w:p>
    <w:p w:rsidR="002765F4" w:rsidRDefault="002765F4">
      <w:pPr>
        <w:pStyle w:val="normal0"/>
        <w:spacing w:line="305" w:lineRule="auto"/>
        <w:ind w:left="720" w:hanging="359"/>
        <w:jc w:val="both"/>
      </w:pPr>
    </w:p>
    <w:p w:rsidR="002765F4" w:rsidRDefault="002765F4">
      <w:pPr>
        <w:pStyle w:val="normal0"/>
        <w:spacing w:line="305" w:lineRule="auto"/>
        <w:ind w:left="720" w:hanging="359"/>
        <w:jc w:val="both"/>
      </w:pPr>
      <w:r>
        <w:rPr>
          <w:b/>
          <w:sz w:val="20"/>
        </w:rPr>
        <w:t>1)</w:t>
      </w:r>
      <w:r>
        <w:rPr>
          <w:rFonts w:ascii="Times New Roman" w:hAnsi="Times New Roman" w:cs="Times New Roman"/>
          <w:sz w:val="14"/>
        </w:rPr>
        <w:t xml:space="preserve"> </w:t>
      </w:r>
      <w:r>
        <w:rPr>
          <w:rFonts w:ascii="Times New Roman" w:hAnsi="Times New Roman" w:cs="Times New Roman"/>
          <w:sz w:val="14"/>
        </w:rPr>
        <w:tab/>
      </w:r>
      <w:r>
        <w:rPr>
          <w:b/>
          <w:sz w:val="20"/>
        </w:rPr>
        <w:t>Le projet de programme explicite clairement les finalités de l’enseignement moral et civique et son apport à la construction de la culture commune :</w:t>
      </w:r>
    </w:p>
    <w:p w:rsidR="002765F4" w:rsidRDefault="002765F4">
      <w:pPr>
        <w:pStyle w:val="normal0"/>
        <w:spacing w:line="305" w:lineRule="auto"/>
        <w:ind w:left="720"/>
        <w:jc w:val="both"/>
      </w:pPr>
      <w:r>
        <w:rPr>
          <w:b/>
          <w:sz w:val="20"/>
        </w:rPr>
        <w:t xml:space="preserve"> </w:t>
      </w:r>
    </w:p>
    <w:p w:rsidR="002765F4" w:rsidRDefault="002765F4">
      <w:pPr>
        <w:pStyle w:val="normal0"/>
        <w:spacing w:line="305" w:lineRule="auto"/>
        <w:ind w:left="720"/>
        <w:jc w:val="both"/>
      </w:pPr>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jc w:val="center"/>
            </w:pPr>
            <w:r w:rsidRPr="00532C64">
              <w:rPr>
                <w:sz w:val="20"/>
              </w:rPr>
              <w:t>Observations :</w:t>
            </w:r>
          </w:p>
          <w:p w:rsidR="002765F4" w:rsidRDefault="002765F4" w:rsidP="00532C64">
            <w:pPr>
              <w:pStyle w:val="normal0"/>
              <w:spacing w:line="305" w:lineRule="auto"/>
            </w:pPr>
            <w:r w:rsidRPr="00532C64">
              <w:rPr>
                <w:sz w:val="20"/>
              </w:rPr>
              <w:t>Le préambule détaille les finalités de l’EMC. Le concept de “culture commune” qu’il évoque ne permet pas de comprendre la place de l’EMC dans le socle commun. Il entretient ainsi des confusions regrettables sur l’objectif de la scolarité commune école-collège. Le recours - artificiel - aux 4 “cultures” ne facilite pas la compréhension, en ajoutant un niveau aux compétences et connaissances. On ne comprend pas par exemple ce qu’est la “culture de la sensibilité”, cultiver la sensibilité est parlant mais pas la “culture de la sensibilité”. On ne comprend pas davantage ce que recouvre la “culture de la règle et du droit” ni la “culture du jugement”, ce serait plus clair d’indiquer “nécessité de la règle et du droit” et “formation du jugement” par exemple.</w:t>
            </w:r>
          </w:p>
          <w:p w:rsidR="002765F4" w:rsidRDefault="002765F4" w:rsidP="00532C64">
            <w:pPr>
              <w:pStyle w:val="normal0"/>
              <w:spacing w:line="305" w:lineRule="auto"/>
            </w:pPr>
            <w:r w:rsidRPr="00532C64">
              <w:rPr>
                <w:sz w:val="20"/>
              </w:rPr>
              <w:t>Ne devrait-on pas parler de “construction de valeurs communes” au lieu de “construction de la culture commune”, ces valeurs étant une partie de la culture commune ?</w:t>
            </w:r>
          </w:p>
          <w:p w:rsidR="002765F4" w:rsidRDefault="002765F4" w:rsidP="00532C64">
            <w:pPr>
              <w:pStyle w:val="normal0"/>
              <w:spacing w:line="305" w:lineRule="auto"/>
            </w:pPr>
            <w:r w:rsidRPr="00532C64">
              <w:rPr>
                <w:sz w:val="20"/>
              </w:rPr>
              <w:t>Il nous semble que ce programme devrait reposer sur la mise en place d’instances démocratiques des élèves (conseil) qui soit centrale et non reléguée dans les exemples possibles de mises en oeuvre !</w:t>
            </w:r>
          </w:p>
          <w:p w:rsidR="002765F4" w:rsidRDefault="002765F4" w:rsidP="00532C64">
            <w:pPr>
              <w:pStyle w:val="normal0"/>
              <w:spacing w:line="305" w:lineRule="auto"/>
            </w:pPr>
          </w:p>
        </w:tc>
      </w:tr>
    </w:tbl>
    <w:p w:rsidR="002765F4" w:rsidRDefault="002765F4">
      <w:pPr>
        <w:pStyle w:val="normal0"/>
        <w:spacing w:line="305" w:lineRule="auto"/>
        <w:jc w:val="both"/>
      </w:pPr>
      <w:r>
        <w:rPr>
          <w:b/>
          <w:sz w:val="20"/>
        </w:rPr>
        <w:t xml:space="preserve"> </w:t>
      </w:r>
    </w:p>
    <w:p w:rsidR="002765F4" w:rsidRDefault="002765F4">
      <w:pPr>
        <w:pStyle w:val="normal0"/>
        <w:spacing w:line="305" w:lineRule="auto"/>
        <w:jc w:val="both"/>
      </w:pPr>
      <w:r>
        <w:rPr>
          <w:b/>
          <w:sz w:val="20"/>
        </w:rPr>
        <w:t xml:space="preserve"> </w:t>
      </w:r>
    </w:p>
    <w:p w:rsidR="002765F4" w:rsidRDefault="002765F4">
      <w:pPr>
        <w:pStyle w:val="normal0"/>
        <w:spacing w:line="305" w:lineRule="auto"/>
        <w:ind w:left="720" w:hanging="359"/>
        <w:jc w:val="both"/>
      </w:pPr>
      <w:r>
        <w:rPr>
          <w:b/>
          <w:sz w:val="20"/>
        </w:rPr>
        <w:t>2)</w:t>
      </w:r>
      <w:r>
        <w:rPr>
          <w:rFonts w:ascii="Times New Roman" w:hAnsi="Times New Roman" w:cs="Times New Roman"/>
          <w:sz w:val="14"/>
        </w:rPr>
        <w:t xml:space="preserve">     </w:t>
      </w:r>
      <w:r>
        <w:rPr>
          <w:b/>
          <w:sz w:val="20"/>
        </w:rPr>
        <w:t>Le projet de programme définit des objectifs de connaissances adaptés aux capacités d’assimilation des élèves dans chacun des cycles et niveaux concernés :</w:t>
      </w:r>
    </w:p>
    <w:p w:rsidR="002765F4" w:rsidRDefault="002765F4">
      <w:pPr>
        <w:pStyle w:val="normal0"/>
        <w:spacing w:line="305" w:lineRule="auto"/>
        <w:ind w:left="360"/>
        <w:jc w:val="both"/>
      </w:pPr>
      <w:r>
        <w:rPr>
          <w:b/>
          <w:sz w:val="20"/>
        </w:rPr>
        <w:t xml:space="preserve"> </w:t>
      </w:r>
    </w:p>
    <w:p w:rsidR="002765F4" w:rsidRDefault="002765F4">
      <w:pPr>
        <w:pStyle w:val="normal0"/>
        <w:spacing w:line="305" w:lineRule="auto"/>
        <w:jc w:val="both"/>
      </w:pPr>
      <w:r>
        <w:rPr>
          <w:b/>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jc w:val="center"/>
            </w:pPr>
            <w:r w:rsidRPr="00532C64">
              <w:rPr>
                <w:sz w:val="20"/>
              </w:rPr>
              <w:t>Observations :</w:t>
            </w:r>
          </w:p>
          <w:p w:rsidR="002765F4" w:rsidRDefault="002765F4" w:rsidP="00532C64">
            <w:pPr>
              <w:pStyle w:val="normal0"/>
              <w:spacing w:line="305" w:lineRule="auto"/>
            </w:pPr>
            <w:r w:rsidRPr="00532C64">
              <w:rPr>
                <w:sz w:val="20"/>
              </w:rPr>
              <w:t>Il est difficile de distinguer clairement des connaissances, au sens habituel, dans les tableaux fournis en annexe. On parle d’ailleurs plutôt d’”objets d’enseignement”. Par contre, des éléments présentés dans la colonne exemple devraient être dans la colonne “Connaissances et objets d’enseignement” : par exemple pour le cycle 2 1er tableau on pourrait avoir dans la 2ème colonne “Apprendre des techniques pour exprimer ses émotions vis-à-vis de ses pairs” et en exemple dans la 3ème “les messages clairs”.</w:t>
            </w:r>
          </w:p>
          <w:p w:rsidR="002765F4" w:rsidRDefault="002765F4" w:rsidP="00532C64">
            <w:pPr>
              <w:pStyle w:val="normal0"/>
              <w:spacing w:line="305" w:lineRule="auto"/>
            </w:pPr>
          </w:p>
          <w:p w:rsidR="002765F4" w:rsidRDefault="002765F4" w:rsidP="00532C64">
            <w:pPr>
              <w:pStyle w:val="normal0"/>
              <w:spacing w:line="305" w:lineRule="auto"/>
            </w:pPr>
            <w:r w:rsidRPr="00532C64">
              <w:rPr>
                <w:sz w:val="20"/>
              </w:rPr>
              <w:t>Page 3 dans connaissances on a : “Cette culture de la sensibilité morale et civique se construit et s’exerce à partir des situations concrètes de la vie scolaire, mais aussi à partir de la confrontation avec la diversité des oeuvres et des textes, et dans toutes les disciplines.” on ne comprend pas quelles sont les connaissances exactement… la connaissance des oeuvres et des textes ?</w:t>
            </w:r>
          </w:p>
          <w:p w:rsidR="002765F4" w:rsidRDefault="002765F4" w:rsidP="00532C64">
            <w:pPr>
              <w:pStyle w:val="normal0"/>
              <w:spacing w:line="305" w:lineRule="auto"/>
            </w:pPr>
          </w:p>
          <w:p w:rsidR="002765F4" w:rsidRDefault="002765F4" w:rsidP="00532C64">
            <w:pPr>
              <w:pStyle w:val="normal0"/>
              <w:spacing w:line="305" w:lineRule="auto"/>
            </w:pPr>
          </w:p>
          <w:p w:rsidR="002765F4" w:rsidRDefault="002765F4" w:rsidP="00532C64">
            <w:pPr>
              <w:pStyle w:val="normal0"/>
              <w:spacing w:line="305" w:lineRule="auto"/>
            </w:pPr>
          </w:p>
          <w:p w:rsidR="002765F4" w:rsidRDefault="002765F4" w:rsidP="00532C64">
            <w:pPr>
              <w:pStyle w:val="normal0"/>
              <w:spacing w:line="305" w:lineRule="auto"/>
            </w:pPr>
          </w:p>
          <w:p w:rsidR="002765F4" w:rsidRDefault="002765F4" w:rsidP="00532C64">
            <w:pPr>
              <w:pStyle w:val="normal0"/>
              <w:spacing w:line="305" w:lineRule="auto"/>
              <w:jc w:val="center"/>
            </w:pPr>
            <w:r w:rsidRPr="00532C64">
              <w:rPr>
                <w:sz w:val="20"/>
              </w:rPr>
              <w:t xml:space="preserve"> </w:t>
            </w:r>
          </w:p>
        </w:tc>
      </w:tr>
    </w:tbl>
    <w:p w:rsidR="002765F4" w:rsidRDefault="002765F4">
      <w:pPr>
        <w:pStyle w:val="normal0"/>
        <w:spacing w:line="305" w:lineRule="auto"/>
      </w:pPr>
      <w:r>
        <w:rPr>
          <w:b/>
          <w:sz w:val="20"/>
        </w:rPr>
        <w:t xml:space="preserve"> </w:t>
      </w:r>
    </w:p>
    <w:p w:rsidR="002765F4" w:rsidRDefault="002765F4">
      <w:pPr>
        <w:pStyle w:val="normal0"/>
      </w:pPr>
    </w:p>
    <w:p w:rsidR="002765F4" w:rsidRDefault="002765F4">
      <w:pPr>
        <w:pStyle w:val="normal0"/>
        <w:spacing w:line="305" w:lineRule="auto"/>
      </w:pPr>
      <w:r>
        <w:rPr>
          <w:b/>
          <w:sz w:val="20"/>
        </w:rPr>
        <w:t xml:space="preserve"> </w:t>
      </w:r>
    </w:p>
    <w:p w:rsidR="002765F4" w:rsidRDefault="002765F4">
      <w:pPr>
        <w:pStyle w:val="normal0"/>
        <w:spacing w:line="305" w:lineRule="auto"/>
        <w:ind w:left="720" w:hanging="359"/>
        <w:jc w:val="both"/>
      </w:pPr>
      <w:r>
        <w:rPr>
          <w:b/>
          <w:sz w:val="20"/>
        </w:rPr>
        <w:t>3)</w:t>
      </w:r>
      <w:r>
        <w:rPr>
          <w:rFonts w:ascii="Times New Roman" w:hAnsi="Times New Roman" w:cs="Times New Roman"/>
          <w:sz w:val="14"/>
        </w:rPr>
        <w:t xml:space="preserve"> </w:t>
      </w:r>
      <w:r>
        <w:rPr>
          <w:rFonts w:ascii="Times New Roman" w:hAnsi="Times New Roman" w:cs="Times New Roman"/>
          <w:sz w:val="14"/>
        </w:rPr>
        <w:tab/>
      </w:r>
      <w:r>
        <w:rPr>
          <w:b/>
          <w:sz w:val="20"/>
        </w:rPr>
        <w:t>Dans le projet de programme, les compétences* attendues en fin de cycle sont suffisamment explicites pour être mises en œuvre :</w:t>
      </w:r>
    </w:p>
    <w:p w:rsidR="002765F4" w:rsidRDefault="002765F4">
      <w:pPr>
        <w:pStyle w:val="normal0"/>
        <w:spacing w:line="305" w:lineRule="auto"/>
      </w:pPr>
      <w:r>
        <w:rPr>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pas d’accord  </w:t>
            </w:r>
            <w:r>
              <w:rPr>
                <w:b/>
                <w:sz w:val="20"/>
                <w:shd w:val="clear" w:color="auto" w:fill="F2F2F2"/>
              </w:rPr>
              <w:t>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jc w:val="center"/>
            </w:pPr>
            <w:r w:rsidRPr="00532C64">
              <w:rPr>
                <w:sz w:val="20"/>
              </w:rPr>
              <w:t>Observations :</w:t>
            </w:r>
          </w:p>
          <w:p w:rsidR="002765F4" w:rsidRDefault="002765F4" w:rsidP="00532C64">
            <w:pPr>
              <w:pStyle w:val="normal0"/>
              <w:spacing w:line="305" w:lineRule="auto"/>
            </w:pPr>
            <w:r w:rsidRPr="00532C64">
              <w:rPr>
                <w:sz w:val="20"/>
              </w:rPr>
              <w:t xml:space="preserve">Les “compétences” listées dans les tableaux récapitulatifs sont trop nombreuses pour être toutes mises en oeuvre. Elles ne sont pas explicites dans la mesure où elles ne sont pas référées à des niveaux de maîtrise attendus dans des situations données. De plus, un certain nombre ne sont pas exprimées sous forme de compétences, notamment celles commençant par “comprendre”. </w:t>
            </w:r>
          </w:p>
          <w:p w:rsidR="002765F4" w:rsidRDefault="002765F4" w:rsidP="00532C64">
            <w:pPr>
              <w:pStyle w:val="normal0"/>
              <w:spacing w:line="305" w:lineRule="auto"/>
              <w:jc w:val="center"/>
            </w:pPr>
            <w:r w:rsidRPr="00532C64">
              <w:rPr>
                <w:sz w:val="20"/>
              </w:rPr>
              <w:t xml:space="preserve"> </w:t>
            </w:r>
          </w:p>
        </w:tc>
      </w:tr>
    </w:tbl>
    <w:p w:rsidR="002765F4" w:rsidRDefault="002765F4">
      <w:pPr>
        <w:pStyle w:val="normal0"/>
        <w:spacing w:line="305" w:lineRule="auto"/>
      </w:pPr>
      <w:r>
        <w:rPr>
          <w:i/>
          <w:sz w:val="18"/>
        </w:rPr>
        <w:t xml:space="preserve">* Par </w:t>
      </w:r>
      <w:r>
        <w:rPr>
          <w:b/>
          <w:i/>
          <w:sz w:val="18"/>
        </w:rPr>
        <w:t>compétence</w:t>
      </w:r>
      <w:r>
        <w:rPr>
          <w:i/>
          <w:sz w:val="18"/>
        </w:rPr>
        <w:t>, on entend la capacité à mobiliser des ressources (savoirs, capacités et attitudes) devant une tâche ou une situation complexes.</w:t>
      </w:r>
    </w:p>
    <w:p w:rsidR="002765F4" w:rsidRDefault="002765F4">
      <w:pPr>
        <w:pStyle w:val="normal0"/>
        <w:spacing w:line="305" w:lineRule="auto"/>
        <w:jc w:val="both"/>
      </w:pPr>
      <w:r>
        <w:rPr>
          <w:b/>
          <w:i/>
          <w:sz w:val="20"/>
        </w:rPr>
        <w:t xml:space="preserve"> </w:t>
      </w:r>
    </w:p>
    <w:p w:rsidR="002765F4" w:rsidRDefault="002765F4">
      <w:pPr>
        <w:pStyle w:val="normal0"/>
        <w:spacing w:line="305" w:lineRule="auto"/>
        <w:ind w:left="720" w:hanging="359"/>
        <w:jc w:val="both"/>
      </w:pPr>
      <w:r>
        <w:rPr>
          <w:b/>
          <w:sz w:val="20"/>
        </w:rPr>
        <w:t>4)</w:t>
      </w:r>
      <w:r>
        <w:rPr>
          <w:rFonts w:ascii="Times New Roman" w:hAnsi="Times New Roman" w:cs="Times New Roman"/>
          <w:sz w:val="14"/>
        </w:rPr>
        <w:t xml:space="preserve">     </w:t>
      </w:r>
      <w:r>
        <w:rPr>
          <w:b/>
          <w:sz w:val="20"/>
        </w:rPr>
        <w:t>Le projet de programme ménage une progressivité des apprentissages :</w:t>
      </w:r>
    </w:p>
    <w:p w:rsidR="002765F4" w:rsidRDefault="002765F4">
      <w:pPr>
        <w:pStyle w:val="normal0"/>
        <w:spacing w:line="305" w:lineRule="auto"/>
        <w:ind w:left="720"/>
        <w:jc w:val="both"/>
      </w:pPr>
      <w:r>
        <w:rPr>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d’accord  </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Plutôt pas d’accord  X</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jc w:val="center"/>
            </w:pPr>
            <w:r w:rsidRPr="00532C64">
              <w:rPr>
                <w:sz w:val="20"/>
              </w:rPr>
              <w:t>Observations :</w:t>
            </w:r>
          </w:p>
          <w:p w:rsidR="002765F4" w:rsidRDefault="002765F4" w:rsidP="00532C64">
            <w:pPr>
              <w:pStyle w:val="normal0"/>
              <w:spacing w:line="305" w:lineRule="auto"/>
            </w:pPr>
            <w:r w:rsidRPr="00532C64">
              <w:rPr>
                <w:sz w:val="20"/>
              </w:rPr>
              <w:t>En comparant les différents tableaux d’un cycle à l’autre, on peut noter que ce sont les mêmes “compétences” qui sont travaillées sur les 3 cycles. Cependant, on identifie mal des niveaux d’exigence attendus différents à la fin de chaque cycle en prenant connaissance de la colonne “connaissances et objets d’enseignement”. Souvent les objets sont libellés de la même façon. Où est la progressivité ? Est-elle  totalement à construire par les équipes ?</w:t>
            </w:r>
          </w:p>
        </w:tc>
      </w:tr>
    </w:tbl>
    <w:p w:rsidR="002765F4" w:rsidRDefault="002765F4">
      <w:pPr>
        <w:pStyle w:val="normal0"/>
        <w:spacing w:line="305" w:lineRule="auto"/>
        <w:jc w:val="both"/>
      </w:pPr>
      <w:r>
        <w:rPr>
          <w:b/>
          <w:sz w:val="20"/>
        </w:rPr>
        <w:t xml:space="preserve"> </w:t>
      </w:r>
    </w:p>
    <w:p w:rsidR="002765F4" w:rsidRDefault="002765F4">
      <w:pPr>
        <w:pStyle w:val="normal0"/>
        <w:spacing w:line="305" w:lineRule="auto"/>
        <w:ind w:left="720" w:hanging="359"/>
        <w:jc w:val="both"/>
      </w:pPr>
      <w:r>
        <w:rPr>
          <w:b/>
          <w:sz w:val="20"/>
        </w:rPr>
        <w:t>5)</w:t>
      </w:r>
      <w:r>
        <w:rPr>
          <w:rFonts w:ascii="Times New Roman" w:hAnsi="Times New Roman" w:cs="Times New Roman"/>
          <w:sz w:val="14"/>
        </w:rPr>
        <w:t xml:space="preserve">     </w:t>
      </w:r>
      <w:r>
        <w:rPr>
          <w:b/>
          <w:sz w:val="20"/>
        </w:rPr>
        <w:t>Le projet de programme laisse aux équipes pédagogiques et éducatives des espaces d'initiative et de responsabilité pour la mise en œuvre du programme :</w:t>
      </w:r>
    </w:p>
    <w:p w:rsidR="002765F4" w:rsidRDefault="002765F4">
      <w:pPr>
        <w:pStyle w:val="normal0"/>
        <w:spacing w:line="305" w:lineRule="auto"/>
        <w:ind w:left="720"/>
        <w:jc w:val="both"/>
      </w:pPr>
      <w:r>
        <w:rPr>
          <w:sz w:val="20"/>
        </w:rPr>
        <w:t xml:space="preserve"> </w:t>
      </w:r>
    </w:p>
    <w:p w:rsidR="002765F4" w:rsidRDefault="002765F4">
      <w:pPr>
        <w:pStyle w:val="normal0"/>
        <w:spacing w:line="305" w:lineRule="auto"/>
        <w:jc w:val="both"/>
      </w:pPr>
      <w:r>
        <w:rPr>
          <w:sz w:val="20"/>
        </w:rPr>
        <w:t xml:space="preserve"> </w:t>
      </w:r>
    </w:p>
    <w:tbl>
      <w:tblPr>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240"/>
        <w:gridCol w:w="3120"/>
      </w:tblGrid>
      <w:tr w:rsidR="002765F4" w:rsidTr="00532C64">
        <w:tc>
          <w:tcPr>
            <w:tcW w:w="624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Plutôt d’accord  x</w:t>
            </w:r>
            <w:r w:rsidRPr="00532C64">
              <w:rPr>
                <w:b/>
                <w:sz w:val="36"/>
                <w:shd w:val="clear" w:color="auto" w:fill="F2F2F2"/>
              </w:rPr>
              <w:t>□</w:t>
            </w:r>
          </w:p>
        </w:tc>
        <w:tc>
          <w:tcPr>
            <w:tcW w:w="3120" w:type="dxa"/>
            <w:tcBorders>
              <w:top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2765F4" w:rsidRDefault="002765F4" w:rsidP="00532C64">
            <w:pPr>
              <w:pStyle w:val="normal0"/>
              <w:spacing w:line="305" w:lineRule="auto"/>
              <w:jc w:val="center"/>
            </w:pPr>
            <w:r w:rsidRPr="00532C64">
              <w:rPr>
                <w:b/>
                <w:sz w:val="20"/>
                <w:shd w:val="clear" w:color="auto" w:fill="F2F2F2"/>
              </w:rPr>
              <w:t xml:space="preserve">Plutôt pas d’accord  </w:t>
            </w:r>
            <w:r w:rsidRPr="00532C64">
              <w:rPr>
                <w:b/>
                <w:sz w:val="36"/>
                <w:shd w:val="clear" w:color="auto" w:fill="F2F2F2"/>
              </w:rPr>
              <w:t>□</w:t>
            </w:r>
          </w:p>
        </w:tc>
      </w:tr>
      <w:tr w:rsidR="002765F4" w:rsidTr="00532C64">
        <w:tc>
          <w:tcPr>
            <w:tcW w:w="936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jc w:val="center"/>
            </w:pPr>
            <w:r w:rsidRPr="00532C64">
              <w:rPr>
                <w:sz w:val="20"/>
              </w:rPr>
              <w:t>Observations :</w:t>
            </w:r>
          </w:p>
          <w:p w:rsidR="002765F4" w:rsidRDefault="002765F4" w:rsidP="00532C64">
            <w:pPr>
              <w:pStyle w:val="normal0"/>
              <w:spacing w:line="305" w:lineRule="auto"/>
            </w:pPr>
            <w:r w:rsidRPr="00532C64">
              <w:rPr>
                <w:sz w:val="20"/>
              </w:rPr>
              <w:t xml:space="preserve">Dans la mesure où cet enseignement repose largement sur une mise en oeuvre hors de temps identifiés, il requiert des prises d’initiative et de responsabilité de la part des équipes. Cependant, l’aspect exhaustif des “compétences” à travailler (alors que cet enseignement ne représente qu’une partie réduite du socle commun), risque de décourager les équipes. L’absence de priorités assumées, la volonté de proposer un “programme” exhaustif nuit à son efficacité. Les confusions regrettables entre compétences, connaissances, objets d’enseignement, l’absence de repères pour l’évaluation contribuent à rendre ce texte peu opérationnel. Il apparaît plus comme un </w:t>
            </w:r>
            <w:r>
              <w:rPr>
                <w:sz w:val="20"/>
              </w:rPr>
              <w:t xml:space="preserve">ensemble </w:t>
            </w:r>
            <w:r w:rsidRPr="00532C64">
              <w:rPr>
                <w:sz w:val="20"/>
              </w:rPr>
              <w:t>dans lequel piocher pour construire un véritable programme d’enseignement.</w:t>
            </w:r>
          </w:p>
        </w:tc>
      </w:tr>
    </w:tbl>
    <w:p w:rsidR="002765F4" w:rsidRDefault="002765F4">
      <w:pPr>
        <w:pStyle w:val="normal0"/>
        <w:spacing w:line="305" w:lineRule="auto"/>
      </w:pPr>
      <w:r>
        <w:rPr>
          <w:b/>
          <w:sz w:val="20"/>
        </w:rPr>
        <w:t xml:space="preserve"> </w:t>
      </w:r>
    </w:p>
    <w:p w:rsidR="002765F4" w:rsidRDefault="002765F4">
      <w:pPr>
        <w:pStyle w:val="normal0"/>
        <w:spacing w:line="305" w:lineRule="auto"/>
        <w:ind w:left="720" w:hanging="359"/>
      </w:pPr>
      <w:r>
        <w:rPr>
          <w:b/>
          <w:sz w:val="20"/>
        </w:rPr>
        <w:t>6)</w:t>
      </w:r>
      <w:r>
        <w:rPr>
          <w:rFonts w:ascii="Times New Roman" w:hAnsi="Times New Roman" w:cs="Times New Roman"/>
          <w:sz w:val="14"/>
        </w:rPr>
        <w:t xml:space="preserve"> </w:t>
      </w:r>
      <w:r>
        <w:rPr>
          <w:rFonts w:ascii="Times New Roman" w:hAnsi="Times New Roman" w:cs="Times New Roman"/>
          <w:sz w:val="14"/>
        </w:rPr>
        <w:tab/>
      </w:r>
      <w:r>
        <w:rPr>
          <w:b/>
          <w:sz w:val="20"/>
        </w:rPr>
        <w:t>Quels sont les points forts du projet ? Les points qui seraient à améliorer ?</w:t>
      </w:r>
    </w:p>
    <w:p w:rsidR="002765F4" w:rsidRDefault="002765F4">
      <w:pPr>
        <w:pStyle w:val="normal0"/>
        <w:spacing w:line="305" w:lineRule="auto"/>
      </w:pPr>
      <w:r>
        <w:rPr>
          <w:b/>
          <w:sz w:val="20"/>
        </w:rPr>
        <w:t xml:space="preserve"> </w:t>
      </w:r>
    </w:p>
    <w:tbl>
      <w:tblP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8880"/>
      </w:tblGrid>
      <w:tr w:rsidR="002765F4" w:rsidTr="00532C64">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5F4" w:rsidRDefault="002765F4" w:rsidP="00532C64">
            <w:pPr>
              <w:pStyle w:val="normal0"/>
              <w:spacing w:line="305" w:lineRule="auto"/>
            </w:pPr>
            <w:r w:rsidRPr="00532C64">
              <w:rPr>
                <w:b/>
                <w:sz w:val="20"/>
              </w:rPr>
              <w:t>Les points à améliorer :</w:t>
            </w:r>
          </w:p>
          <w:p w:rsidR="002765F4" w:rsidRPr="00532C64" w:rsidRDefault="002765F4" w:rsidP="00532C64">
            <w:pPr>
              <w:pStyle w:val="normal0"/>
              <w:numPr>
                <w:ilvl w:val="0"/>
                <w:numId w:val="1"/>
              </w:numPr>
              <w:spacing w:line="305" w:lineRule="auto"/>
              <w:ind w:hanging="359"/>
              <w:contextualSpacing/>
              <w:rPr>
                <w:b/>
                <w:sz w:val="20"/>
              </w:rPr>
            </w:pPr>
            <w:r w:rsidRPr="00532C64">
              <w:rPr>
                <w:b/>
                <w:sz w:val="20"/>
              </w:rPr>
              <w:t>la partie “architecture” et le recours aux 4 cultures</w:t>
            </w:r>
          </w:p>
          <w:p w:rsidR="002765F4" w:rsidRDefault="002765F4" w:rsidP="0040351A">
            <w:pPr>
              <w:pStyle w:val="normal0"/>
              <w:numPr>
                <w:ilvl w:val="0"/>
                <w:numId w:val="1"/>
              </w:numPr>
              <w:spacing w:line="305" w:lineRule="auto"/>
              <w:ind w:hanging="359"/>
              <w:contextualSpacing/>
              <w:rPr>
                <w:b/>
                <w:sz w:val="20"/>
              </w:rPr>
            </w:pPr>
            <w:r w:rsidRPr="00532C64">
              <w:rPr>
                <w:b/>
                <w:sz w:val="20"/>
              </w:rPr>
              <w:t xml:space="preserve">la définition des compétences : situations /connaissances associées / niveaux de maîtrise attendus </w:t>
            </w:r>
            <w:r>
              <w:rPr>
                <w:b/>
                <w:sz w:val="20"/>
              </w:rPr>
              <w:t>garantissant une progressivité</w:t>
            </w:r>
          </w:p>
          <w:p w:rsidR="002765F4" w:rsidRPr="00532C64" w:rsidRDefault="002765F4" w:rsidP="0040351A">
            <w:pPr>
              <w:pStyle w:val="normal0"/>
              <w:numPr>
                <w:ilvl w:val="0"/>
                <w:numId w:val="1"/>
              </w:numPr>
              <w:spacing w:line="305" w:lineRule="auto"/>
              <w:ind w:hanging="359"/>
              <w:contextualSpacing/>
              <w:rPr>
                <w:b/>
                <w:sz w:val="20"/>
              </w:rPr>
            </w:pPr>
            <w:r w:rsidRPr="00532C64">
              <w:rPr>
                <w:b/>
                <w:sz w:val="20"/>
              </w:rPr>
              <w:t>le nombre de compétences à travailler : élaborer un projet plus modeste mais réaliste (4 ou 5 compétences à construire dans des situations ancrées dans la vie des élèves)</w:t>
            </w:r>
          </w:p>
          <w:p w:rsidR="002765F4" w:rsidRPr="0040351A" w:rsidRDefault="002765F4" w:rsidP="0040351A">
            <w:pPr>
              <w:pStyle w:val="normal0"/>
              <w:numPr>
                <w:ilvl w:val="0"/>
                <w:numId w:val="1"/>
              </w:numPr>
              <w:spacing w:line="305" w:lineRule="auto"/>
              <w:ind w:hanging="359"/>
              <w:contextualSpacing/>
              <w:rPr>
                <w:b/>
                <w:sz w:val="20"/>
              </w:rPr>
            </w:pPr>
            <w:r w:rsidRPr="00532C64">
              <w:rPr>
                <w:b/>
                <w:sz w:val="20"/>
              </w:rPr>
              <w:t>l’évaluation, pour l’instant totalement absente</w:t>
            </w:r>
          </w:p>
          <w:p w:rsidR="002765F4" w:rsidRDefault="002765F4" w:rsidP="00532C64">
            <w:pPr>
              <w:pStyle w:val="normal0"/>
              <w:spacing w:line="305" w:lineRule="auto"/>
            </w:pPr>
            <w:r w:rsidRPr="00532C64">
              <w:rPr>
                <w:b/>
                <w:sz w:val="20"/>
              </w:rPr>
              <w:t xml:space="preserve"> </w:t>
            </w:r>
          </w:p>
        </w:tc>
      </w:tr>
    </w:tbl>
    <w:p w:rsidR="002765F4" w:rsidRDefault="002765F4">
      <w:pPr>
        <w:pStyle w:val="normal0"/>
        <w:spacing w:line="305" w:lineRule="auto"/>
      </w:pPr>
      <w:r>
        <w:rPr>
          <w:b/>
          <w:sz w:val="20"/>
        </w:rPr>
        <w:t xml:space="preserve"> </w:t>
      </w:r>
    </w:p>
    <w:p w:rsidR="002765F4" w:rsidRDefault="002765F4">
      <w:pPr>
        <w:pStyle w:val="normal0"/>
        <w:spacing w:line="305" w:lineRule="auto"/>
        <w:ind w:left="720" w:hanging="359"/>
      </w:pPr>
      <w:r>
        <w:rPr>
          <w:b/>
          <w:sz w:val="20"/>
        </w:rPr>
        <w:t>7)</w:t>
      </w:r>
      <w:r>
        <w:rPr>
          <w:rFonts w:ascii="Times New Roman" w:hAnsi="Times New Roman" w:cs="Times New Roman"/>
          <w:sz w:val="14"/>
        </w:rPr>
        <w:t xml:space="preserve"> </w:t>
      </w:r>
      <w:r>
        <w:rPr>
          <w:rFonts w:ascii="Times New Roman" w:hAnsi="Times New Roman" w:cs="Times New Roman"/>
          <w:sz w:val="14"/>
        </w:rPr>
        <w:tab/>
      </w:r>
      <w:r>
        <w:rPr>
          <w:b/>
          <w:sz w:val="20"/>
        </w:rPr>
        <w:t>Observations complémentaires :</w:t>
      </w:r>
    </w:p>
    <w:p w:rsidR="002765F4" w:rsidRDefault="002765F4">
      <w:pPr>
        <w:pStyle w:val="normal0"/>
        <w:spacing w:line="305" w:lineRule="auto"/>
      </w:pPr>
      <w:r>
        <w:rPr>
          <w:sz w:val="20"/>
        </w:rPr>
        <w:t>……………………………………………………………………………………………………………………….……………………………………………………………………………………………………………………….……………………………………………………………………………………………………………………….……………………………………………………………………………………………………………………….</w:t>
      </w:r>
    </w:p>
    <w:p w:rsidR="002765F4" w:rsidRDefault="002765F4">
      <w:pPr>
        <w:pStyle w:val="normal0"/>
      </w:pPr>
    </w:p>
    <w:sectPr w:rsidR="002765F4" w:rsidSect="002B242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07B1A"/>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422"/>
    <w:rsid w:val="00245F08"/>
    <w:rsid w:val="002765F4"/>
    <w:rsid w:val="002B2422"/>
    <w:rsid w:val="0040351A"/>
    <w:rsid w:val="00532C6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color w:val="000000"/>
      <w:szCs w:val="20"/>
    </w:rPr>
  </w:style>
  <w:style w:type="paragraph" w:styleId="Heading1">
    <w:name w:val="heading 1"/>
    <w:basedOn w:val="normal0"/>
    <w:next w:val="normal0"/>
    <w:link w:val="Heading1Char"/>
    <w:uiPriority w:val="99"/>
    <w:qFormat/>
    <w:rsid w:val="002B2422"/>
    <w:pPr>
      <w:keepNext/>
      <w:keepLines/>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2B2422"/>
    <w:pPr>
      <w:keepNext/>
      <w:keepLines/>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2B2422"/>
    <w:pPr>
      <w:keepNext/>
      <w:keepLines/>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2B2422"/>
    <w:pPr>
      <w:keepNext/>
      <w:keepLines/>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2B2422"/>
    <w:pPr>
      <w:keepNext/>
      <w:keepLines/>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2B2422"/>
    <w:pPr>
      <w:keepNext/>
      <w:keepLines/>
      <w:spacing w:before="160"/>
      <w:contextualSpacing/>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ED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sid w:val="00D90EDC"/>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sid w:val="00D90ED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90ED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90ED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90EDC"/>
    <w:rPr>
      <w:rFonts w:asciiTheme="minorHAnsi" w:eastAsiaTheme="minorEastAsia" w:hAnsiTheme="minorHAnsi" w:cstheme="minorBidi"/>
      <w:b/>
      <w:bCs/>
      <w:color w:val="000000"/>
    </w:rPr>
  </w:style>
  <w:style w:type="paragraph" w:customStyle="1" w:styleId="normal0">
    <w:name w:val="normal"/>
    <w:uiPriority w:val="99"/>
    <w:rsid w:val="002B2422"/>
    <w:pPr>
      <w:spacing w:line="276" w:lineRule="auto"/>
    </w:pPr>
    <w:rPr>
      <w:color w:val="000000"/>
      <w:szCs w:val="20"/>
    </w:rPr>
  </w:style>
  <w:style w:type="paragraph" w:styleId="Title">
    <w:name w:val="Title"/>
    <w:basedOn w:val="normal0"/>
    <w:next w:val="normal0"/>
    <w:link w:val="TitleChar"/>
    <w:uiPriority w:val="99"/>
    <w:qFormat/>
    <w:rsid w:val="002B2422"/>
    <w:pPr>
      <w:keepNext/>
      <w:keepLines/>
      <w:contextualSpacing/>
    </w:pPr>
    <w:rPr>
      <w:rFonts w:ascii="Trebuchet MS" w:hAnsi="Trebuchet MS" w:cs="Trebuchet MS"/>
      <w:sz w:val="42"/>
    </w:rPr>
  </w:style>
  <w:style w:type="character" w:customStyle="1" w:styleId="TitleChar">
    <w:name w:val="Title Char"/>
    <w:basedOn w:val="DefaultParagraphFont"/>
    <w:link w:val="Title"/>
    <w:uiPriority w:val="10"/>
    <w:rsid w:val="00D90EDC"/>
    <w:rPr>
      <w:rFonts w:asciiTheme="majorHAnsi" w:eastAsiaTheme="majorEastAsia" w:hAnsiTheme="majorHAnsi" w:cstheme="majorBidi"/>
      <w:b/>
      <w:bCs/>
      <w:color w:val="000000"/>
      <w:kern w:val="28"/>
      <w:sz w:val="32"/>
      <w:szCs w:val="32"/>
    </w:rPr>
  </w:style>
  <w:style w:type="paragraph" w:styleId="Subtitle">
    <w:name w:val="Subtitle"/>
    <w:basedOn w:val="normal0"/>
    <w:next w:val="normal0"/>
    <w:link w:val="SubtitleChar"/>
    <w:uiPriority w:val="99"/>
    <w:qFormat/>
    <w:rsid w:val="002B2422"/>
    <w:pPr>
      <w:keepNext/>
      <w:keepLines/>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D90EDC"/>
    <w:rPr>
      <w:rFonts w:asciiTheme="majorHAnsi" w:eastAsiaTheme="majorEastAsia" w:hAnsiTheme="majorHAnsi" w:cstheme="majorBidi"/>
      <w:color w:val="000000"/>
      <w:sz w:val="24"/>
      <w:szCs w:val="24"/>
    </w:rPr>
  </w:style>
  <w:style w:type="table" w:customStyle="1" w:styleId="Style">
    <w:name w:val="Style"/>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5">
    <w:name w:val="Style5"/>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4">
    <w:name w:val="Style4"/>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3">
    <w:name w:val="Style3"/>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1">
    <w:name w:val="Style1"/>
    <w:uiPriority w:val="99"/>
    <w:rsid w:val="002B2422"/>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861</Words>
  <Characters>4740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pour consultation EMC.docx</dc:title>
  <dc:subject/>
  <dc:creator/>
  <cp:keywords/>
  <dc:description/>
  <cp:lastModifiedBy>ClK</cp:lastModifiedBy>
  <cp:revision>2</cp:revision>
  <dcterms:created xsi:type="dcterms:W3CDTF">2015-01-06T14:12:00Z</dcterms:created>
  <dcterms:modified xsi:type="dcterms:W3CDTF">2015-01-06T14:12:00Z</dcterms:modified>
</cp:coreProperties>
</file>